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64C8" w:rsidRPr="00443965" w:rsidRDefault="00443965" w:rsidP="00443965">
      <w:pPr>
        <w:jc w:val="center"/>
        <w:rPr>
          <w:rFonts w:hint="eastAsia"/>
          <w:b/>
          <w:sz w:val="32"/>
          <w:szCs w:val="32"/>
        </w:rPr>
      </w:pPr>
      <w:r w:rsidRPr="00443965">
        <w:rPr>
          <w:rFonts w:hint="eastAsia"/>
          <w:b/>
          <w:sz w:val="32"/>
          <w:szCs w:val="32"/>
        </w:rPr>
        <w:t>现当代文学教研室论文指导老师名单和选题范围</w:t>
      </w:r>
    </w:p>
    <w:p w:rsidR="00443965" w:rsidRPr="00443965" w:rsidRDefault="00443965" w:rsidP="00443965">
      <w:pPr>
        <w:spacing w:line="360" w:lineRule="auto"/>
        <w:rPr>
          <w:rFonts w:hint="eastAsia"/>
          <w:sz w:val="24"/>
          <w:szCs w:val="24"/>
        </w:rPr>
      </w:pPr>
    </w:p>
    <w:p w:rsidR="00443965" w:rsidRPr="00443965" w:rsidRDefault="00443965" w:rsidP="00443965">
      <w:pPr>
        <w:spacing w:line="360" w:lineRule="auto"/>
        <w:rPr>
          <w:rFonts w:hint="eastAsia"/>
          <w:sz w:val="24"/>
          <w:szCs w:val="24"/>
        </w:rPr>
      </w:pPr>
      <w:r w:rsidRPr="00443965">
        <w:rPr>
          <w:rFonts w:hint="eastAsia"/>
          <w:sz w:val="24"/>
          <w:szCs w:val="24"/>
        </w:rPr>
        <w:t>指导老师名单：晏红、邓齐平、何雁、刘瑜、胡登全、范芊娥</w:t>
      </w:r>
    </w:p>
    <w:p w:rsidR="00443965" w:rsidRPr="00443965" w:rsidRDefault="00443965" w:rsidP="00443965">
      <w:pPr>
        <w:spacing w:line="360" w:lineRule="auto"/>
        <w:rPr>
          <w:rFonts w:hint="eastAsia"/>
          <w:sz w:val="24"/>
          <w:szCs w:val="24"/>
        </w:rPr>
      </w:pPr>
    </w:p>
    <w:p w:rsidR="00443965" w:rsidRPr="00443965" w:rsidRDefault="00443965" w:rsidP="00443965">
      <w:pPr>
        <w:spacing w:line="360" w:lineRule="auto"/>
        <w:rPr>
          <w:rFonts w:hint="eastAsia"/>
          <w:sz w:val="24"/>
          <w:szCs w:val="24"/>
        </w:rPr>
      </w:pPr>
      <w:r w:rsidRPr="00443965">
        <w:rPr>
          <w:rFonts w:hint="eastAsia"/>
          <w:sz w:val="24"/>
          <w:szCs w:val="24"/>
        </w:rPr>
        <w:t>指导范围：</w:t>
      </w:r>
    </w:p>
    <w:p w:rsidR="00443965" w:rsidRPr="00443965" w:rsidRDefault="00443965" w:rsidP="00443965">
      <w:pPr>
        <w:spacing w:line="360" w:lineRule="auto"/>
        <w:rPr>
          <w:rFonts w:hint="eastAsia"/>
          <w:sz w:val="24"/>
          <w:szCs w:val="24"/>
        </w:rPr>
      </w:pPr>
      <w:r w:rsidRPr="00443965">
        <w:rPr>
          <w:rFonts w:hint="eastAsia"/>
          <w:sz w:val="24"/>
          <w:szCs w:val="24"/>
        </w:rPr>
        <w:t xml:space="preserve">      </w:t>
      </w:r>
      <w:r w:rsidR="00EB3C48">
        <w:rPr>
          <w:rFonts w:hint="eastAsia"/>
          <w:sz w:val="24"/>
          <w:szCs w:val="24"/>
        </w:rPr>
        <w:t>（</w:t>
      </w:r>
      <w:r w:rsidR="00EB3C48">
        <w:rPr>
          <w:rFonts w:hint="eastAsia"/>
          <w:sz w:val="24"/>
          <w:szCs w:val="24"/>
        </w:rPr>
        <w:t>1</w:t>
      </w:r>
      <w:r w:rsidR="00EB3C48">
        <w:rPr>
          <w:rFonts w:hint="eastAsia"/>
          <w:sz w:val="24"/>
          <w:szCs w:val="24"/>
        </w:rPr>
        <w:t>）</w:t>
      </w:r>
      <w:r w:rsidRPr="00443965">
        <w:rPr>
          <w:rFonts w:hint="eastAsia"/>
          <w:sz w:val="24"/>
          <w:szCs w:val="24"/>
        </w:rPr>
        <w:t>晏红、邓齐平、何雁、范芊娥：现当代文学范畴的都可以</w:t>
      </w:r>
    </w:p>
    <w:p w:rsidR="00443965" w:rsidRPr="00443965" w:rsidRDefault="00443965" w:rsidP="00443965">
      <w:pPr>
        <w:spacing w:line="360" w:lineRule="auto"/>
        <w:rPr>
          <w:rFonts w:hint="eastAsia"/>
          <w:sz w:val="24"/>
          <w:szCs w:val="24"/>
        </w:rPr>
      </w:pPr>
      <w:r w:rsidRPr="00443965">
        <w:rPr>
          <w:rFonts w:hint="eastAsia"/>
          <w:sz w:val="24"/>
          <w:szCs w:val="24"/>
        </w:rPr>
        <w:t xml:space="preserve">     </w:t>
      </w:r>
      <w:r w:rsidR="00EB3C48">
        <w:rPr>
          <w:rFonts w:hint="eastAsia"/>
          <w:sz w:val="24"/>
          <w:szCs w:val="24"/>
        </w:rPr>
        <w:t>（</w:t>
      </w:r>
      <w:r w:rsidR="00EB3C48">
        <w:rPr>
          <w:rFonts w:hint="eastAsia"/>
          <w:sz w:val="24"/>
          <w:szCs w:val="24"/>
        </w:rPr>
        <w:t>2</w:t>
      </w:r>
      <w:r w:rsidR="00EB3C48">
        <w:rPr>
          <w:rFonts w:hint="eastAsia"/>
          <w:sz w:val="24"/>
          <w:szCs w:val="24"/>
        </w:rPr>
        <w:t>）</w:t>
      </w:r>
      <w:r w:rsidRPr="00443965">
        <w:rPr>
          <w:rFonts w:hint="eastAsia"/>
          <w:sz w:val="24"/>
          <w:szCs w:val="24"/>
        </w:rPr>
        <w:t xml:space="preserve"> </w:t>
      </w:r>
      <w:r w:rsidRPr="00443965">
        <w:rPr>
          <w:rFonts w:hint="eastAsia"/>
          <w:sz w:val="24"/>
          <w:szCs w:val="24"/>
        </w:rPr>
        <w:t>胡登全：现当代文学的传播，以及现当代文学的其他研究领域。</w:t>
      </w:r>
    </w:p>
    <w:p w:rsidR="00443965" w:rsidRPr="00443965" w:rsidRDefault="00443965" w:rsidP="00443965">
      <w:pPr>
        <w:spacing w:line="360" w:lineRule="auto"/>
        <w:rPr>
          <w:rFonts w:hint="eastAsia"/>
          <w:sz w:val="24"/>
          <w:szCs w:val="24"/>
        </w:rPr>
      </w:pPr>
      <w:r w:rsidRPr="00443965">
        <w:rPr>
          <w:rFonts w:hint="eastAsia"/>
          <w:sz w:val="24"/>
          <w:szCs w:val="24"/>
        </w:rPr>
        <w:t xml:space="preserve">     </w:t>
      </w:r>
      <w:r w:rsidR="00EB3C48">
        <w:rPr>
          <w:rFonts w:hint="eastAsia"/>
          <w:sz w:val="24"/>
          <w:szCs w:val="24"/>
        </w:rPr>
        <w:t>（</w:t>
      </w:r>
      <w:r w:rsidR="00EB3C48">
        <w:rPr>
          <w:rFonts w:hint="eastAsia"/>
          <w:sz w:val="24"/>
          <w:szCs w:val="24"/>
        </w:rPr>
        <w:t>3</w:t>
      </w:r>
      <w:r w:rsidR="00EB3C48">
        <w:rPr>
          <w:rFonts w:hint="eastAsia"/>
          <w:sz w:val="24"/>
          <w:szCs w:val="24"/>
        </w:rPr>
        <w:t>）</w:t>
      </w:r>
      <w:r w:rsidRPr="00443965">
        <w:rPr>
          <w:rFonts w:hint="eastAsia"/>
          <w:sz w:val="24"/>
          <w:szCs w:val="24"/>
        </w:rPr>
        <w:t>刘瑜老师</w:t>
      </w:r>
      <w:r w:rsidR="0034440F">
        <w:rPr>
          <w:rFonts w:hint="eastAsia"/>
          <w:sz w:val="24"/>
          <w:szCs w:val="24"/>
        </w:rPr>
        <w:t>参考性选题范围、题目</w:t>
      </w:r>
      <w:r w:rsidRPr="00443965">
        <w:rPr>
          <w:rFonts w:hint="eastAsia"/>
          <w:sz w:val="24"/>
          <w:szCs w:val="24"/>
        </w:rPr>
        <w:t>：</w:t>
      </w:r>
    </w:p>
    <w:tbl>
      <w:tblPr>
        <w:tblW w:w="10840" w:type="dxa"/>
        <w:tblInd w:w="93" w:type="dxa"/>
        <w:tblLook w:val="04A0"/>
      </w:tblPr>
      <w:tblGrid>
        <w:gridCol w:w="10840"/>
      </w:tblGrid>
      <w:tr w:rsidR="00443965" w:rsidRPr="00443965" w:rsidTr="00443965">
        <w:trPr>
          <w:trHeight w:val="285"/>
        </w:trPr>
        <w:tc>
          <w:tcPr>
            <w:tcW w:w="10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3965" w:rsidRPr="00443965" w:rsidRDefault="00443965" w:rsidP="00443965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43965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不一样的阿Q：从《阿Q正传》到《陈奂生上城》</w:t>
            </w:r>
          </w:p>
        </w:tc>
      </w:tr>
      <w:tr w:rsidR="00443965" w:rsidRPr="00443965" w:rsidTr="00443965">
        <w:trPr>
          <w:trHeight w:val="285"/>
        </w:trPr>
        <w:tc>
          <w:tcPr>
            <w:tcW w:w="10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3965" w:rsidRPr="00443965" w:rsidRDefault="00443965" w:rsidP="00443965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43965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五四时期子君个人悲剧特征性探索    ——鲁迅小说《伤逝》文本解读</w:t>
            </w:r>
          </w:p>
        </w:tc>
      </w:tr>
      <w:tr w:rsidR="00443965" w:rsidRPr="00443965" w:rsidTr="00443965">
        <w:trPr>
          <w:trHeight w:val="285"/>
        </w:trPr>
        <w:tc>
          <w:tcPr>
            <w:tcW w:w="10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3965" w:rsidRPr="00443965" w:rsidRDefault="00443965" w:rsidP="00443965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43965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出走后的幻灭  ——《伤逝》中子君形象分析</w:t>
            </w:r>
          </w:p>
        </w:tc>
      </w:tr>
      <w:tr w:rsidR="00443965" w:rsidRPr="00443965" w:rsidTr="00443965">
        <w:trPr>
          <w:trHeight w:val="285"/>
        </w:trPr>
        <w:tc>
          <w:tcPr>
            <w:tcW w:w="10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3965" w:rsidRPr="00443965" w:rsidRDefault="00443965" w:rsidP="00443965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43965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田园牧歌下的淡淡忧伤  ——沈从文《边城》解读</w:t>
            </w:r>
          </w:p>
        </w:tc>
      </w:tr>
      <w:tr w:rsidR="00443965" w:rsidRPr="00443965" w:rsidTr="00443965">
        <w:trPr>
          <w:trHeight w:val="285"/>
        </w:trPr>
        <w:tc>
          <w:tcPr>
            <w:tcW w:w="10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3965" w:rsidRPr="00443965" w:rsidRDefault="00443965" w:rsidP="00443965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43965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张爱玲《倾城之恋》中的女性意识的萌芽</w:t>
            </w:r>
          </w:p>
        </w:tc>
      </w:tr>
      <w:tr w:rsidR="00443965" w:rsidRPr="00443965" w:rsidTr="00443965">
        <w:trPr>
          <w:trHeight w:val="285"/>
        </w:trPr>
        <w:tc>
          <w:tcPr>
            <w:tcW w:w="10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3965" w:rsidRPr="00443965" w:rsidRDefault="00443965" w:rsidP="00443965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43965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浅析《沉香屑：第一炉香》中葛薇龙人物形象的悲剧原因</w:t>
            </w:r>
          </w:p>
        </w:tc>
      </w:tr>
      <w:tr w:rsidR="00443965" w:rsidRPr="00443965" w:rsidTr="00443965">
        <w:trPr>
          <w:trHeight w:val="285"/>
        </w:trPr>
        <w:tc>
          <w:tcPr>
            <w:tcW w:w="10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3965" w:rsidRPr="00443965" w:rsidRDefault="00443965" w:rsidP="00443965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43965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浅析巴金《寒夜》人物形象的悲剧形态</w:t>
            </w:r>
          </w:p>
        </w:tc>
      </w:tr>
      <w:tr w:rsidR="00443965" w:rsidRPr="00443965" w:rsidTr="00443965">
        <w:trPr>
          <w:trHeight w:val="285"/>
        </w:trPr>
        <w:tc>
          <w:tcPr>
            <w:tcW w:w="10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3965" w:rsidRPr="00443965" w:rsidRDefault="00443965" w:rsidP="00443965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43965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《浅析&lt;包氏父子&gt;中人物形象的荒诞性》</w:t>
            </w:r>
          </w:p>
        </w:tc>
      </w:tr>
      <w:tr w:rsidR="00443965" w:rsidRPr="00443965" w:rsidTr="00443965">
        <w:trPr>
          <w:trHeight w:val="285"/>
        </w:trPr>
        <w:tc>
          <w:tcPr>
            <w:tcW w:w="10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3965" w:rsidRPr="00443965" w:rsidRDefault="00443965" w:rsidP="00443965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43965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走出围城-赵辛楣人物解析</w:t>
            </w:r>
          </w:p>
        </w:tc>
      </w:tr>
      <w:tr w:rsidR="00443965" w:rsidRPr="00443965" w:rsidTr="00443965">
        <w:trPr>
          <w:trHeight w:val="285"/>
        </w:trPr>
        <w:tc>
          <w:tcPr>
            <w:tcW w:w="10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3965" w:rsidRPr="00443965" w:rsidRDefault="00443965" w:rsidP="00443965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43965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时代下的忧郁  ——格非《春尽江南》人物形象分析</w:t>
            </w:r>
          </w:p>
        </w:tc>
      </w:tr>
      <w:tr w:rsidR="00443965" w:rsidRPr="00443965" w:rsidTr="00443965">
        <w:trPr>
          <w:trHeight w:val="285"/>
        </w:trPr>
        <w:tc>
          <w:tcPr>
            <w:tcW w:w="10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3965" w:rsidRPr="00443965" w:rsidRDefault="00443965" w:rsidP="00443965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43965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荒诞背后的“无为”回归  ——对阎连科《受活》中思想蕴含的一种解读</w:t>
            </w:r>
          </w:p>
        </w:tc>
      </w:tr>
      <w:tr w:rsidR="00443965" w:rsidRPr="00443965" w:rsidTr="00443965">
        <w:trPr>
          <w:trHeight w:val="285"/>
        </w:trPr>
        <w:tc>
          <w:tcPr>
            <w:tcW w:w="10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3965" w:rsidRPr="00443965" w:rsidRDefault="00443965" w:rsidP="00443965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43965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从贪欲到爱欲  ——《生死疲劳》中蓝解放人物形象分析</w:t>
            </w:r>
          </w:p>
        </w:tc>
      </w:tr>
      <w:tr w:rsidR="00443965" w:rsidRPr="00443965" w:rsidTr="00443965">
        <w:trPr>
          <w:trHeight w:val="285"/>
        </w:trPr>
        <w:tc>
          <w:tcPr>
            <w:tcW w:w="10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3965" w:rsidRPr="00443965" w:rsidRDefault="00443965" w:rsidP="00443965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43965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史铁生死亡观下的深刻救赎</w:t>
            </w:r>
          </w:p>
        </w:tc>
      </w:tr>
      <w:tr w:rsidR="00443965" w:rsidRPr="00443965" w:rsidTr="00443965">
        <w:trPr>
          <w:trHeight w:val="285"/>
        </w:trPr>
        <w:tc>
          <w:tcPr>
            <w:tcW w:w="10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3965" w:rsidRPr="00443965" w:rsidRDefault="00443965" w:rsidP="00443965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43965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边缘化的弱势群体  ——论白先勇小说中的男性形象</w:t>
            </w:r>
          </w:p>
        </w:tc>
      </w:tr>
      <w:tr w:rsidR="00443965" w:rsidRPr="00443965" w:rsidTr="00443965">
        <w:trPr>
          <w:trHeight w:val="285"/>
        </w:trPr>
        <w:tc>
          <w:tcPr>
            <w:tcW w:w="10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3965" w:rsidRPr="00443965" w:rsidRDefault="00443965" w:rsidP="00443965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43965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福贵为什么还没有死？  ——论余华《活着》中的生死观</w:t>
            </w:r>
          </w:p>
        </w:tc>
      </w:tr>
      <w:tr w:rsidR="00443965" w:rsidRPr="00443965" w:rsidTr="00443965">
        <w:trPr>
          <w:trHeight w:val="285"/>
        </w:trPr>
        <w:tc>
          <w:tcPr>
            <w:tcW w:w="10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3965" w:rsidRPr="00443965" w:rsidRDefault="00443965" w:rsidP="00443965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43965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《白鹿原》中白嘉轩的儒家文化形象分析</w:t>
            </w:r>
          </w:p>
        </w:tc>
      </w:tr>
      <w:tr w:rsidR="00443965" w:rsidRPr="00443965" w:rsidTr="00443965">
        <w:trPr>
          <w:trHeight w:val="285"/>
        </w:trPr>
        <w:tc>
          <w:tcPr>
            <w:tcW w:w="10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3965" w:rsidRPr="00443965" w:rsidRDefault="00443965" w:rsidP="00443965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43965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挣扎与救赎  ——《白夜行》桐原亮司人物形象浅析</w:t>
            </w:r>
          </w:p>
        </w:tc>
      </w:tr>
      <w:tr w:rsidR="00443965" w:rsidRPr="00443965" w:rsidTr="00443965">
        <w:trPr>
          <w:trHeight w:val="285"/>
        </w:trPr>
        <w:tc>
          <w:tcPr>
            <w:tcW w:w="10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3965" w:rsidRPr="00443965" w:rsidRDefault="00443965" w:rsidP="00443965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43965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原野上交织的爱恨情仇   ——以曹禺戏剧《原野》中仇虎形象的分析为例</w:t>
            </w:r>
          </w:p>
        </w:tc>
      </w:tr>
      <w:tr w:rsidR="00443965" w:rsidRPr="00443965" w:rsidTr="00443965">
        <w:trPr>
          <w:trHeight w:val="285"/>
        </w:trPr>
        <w:tc>
          <w:tcPr>
            <w:tcW w:w="10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3965" w:rsidRPr="00443965" w:rsidRDefault="00443965" w:rsidP="00443965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</w:tbl>
    <w:p w:rsidR="00443965" w:rsidRPr="00443965" w:rsidRDefault="00443965" w:rsidP="00443965">
      <w:pPr>
        <w:spacing w:line="360" w:lineRule="auto"/>
        <w:rPr>
          <w:sz w:val="24"/>
          <w:szCs w:val="24"/>
        </w:rPr>
      </w:pPr>
    </w:p>
    <w:sectPr w:rsidR="00443965" w:rsidRPr="00443965" w:rsidSect="000C101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B201B" w:rsidRDefault="00EB201B" w:rsidP="0034440F">
      <w:r>
        <w:separator/>
      </w:r>
    </w:p>
  </w:endnote>
  <w:endnote w:type="continuationSeparator" w:id="1">
    <w:p w:rsidR="00EB201B" w:rsidRDefault="00EB201B" w:rsidP="0034440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B201B" w:rsidRDefault="00EB201B" w:rsidP="0034440F">
      <w:r>
        <w:separator/>
      </w:r>
    </w:p>
  </w:footnote>
  <w:footnote w:type="continuationSeparator" w:id="1">
    <w:p w:rsidR="00EB201B" w:rsidRDefault="00EB201B" w:rsidP="0034440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43965"/>
    <w:rsid w:val="000C101A"/>
    <w:rsid w:val="0034440F"/>
    <w:rsid w:val="00443965"/>
    <w:rsid w:val="00511C3F"/>
    <w:rsid w:val="006E0EA0"/>
    <w:rsid w:val="00753D45"/>
    <w:rsid w:val="007626E7"/>
    <w:rsid w:val="008055FE"/>
    <w:rsid w:val="00AC6E43"/>
    <w:rsid w:val="00B84828"/>
    <w:rsid w:val="00CF6BE5"/>
    <w:rsid w:val="00EB201B"/>
    <w:rsid w:val="00EB3C48"/>
    <w:rsid w:val="00F336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10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34440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34440F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34440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34440F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472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90</Words>
  <Characters>515</Characters>
  <Application>Microsoft Office Word</Application>
  <DocSecurity>0</DocSecurity>
  <Lines>4</Lines>
  <Paragraphs>1</Paragraphs>
  <ScaleCrop>false</ScaleCrop>
  <Company>Microsoft</Company>
  <LinksUpToDate>false</LinksUpToDate>
  <CharactersWithSpaces>604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4</cp:revision>
  <dcterms:created xsi:type="dcterms:W3CDTF">2019-11-04T01:26:00Z</dcterms:created>
  <dcterms:modified xsi:type="dcterms:W3CDTF">2019-11-04T01:35:00Z</dcterms:modified>
</cp:coreProperties>
</file>