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97569">
      <w:pPr>
        <w:pStyle w:val="10"/>
        <w:keepNext w:val="0"/>
        <w:keepLines w:val="0"/>
        <w:pageBreakBefore w:val="0"/>
        <w:widowControl/>
        <w:kinsoku/>
        <w:wordWrap/>
        <w:overflowPunct/>
        <w:topLinePunct w:val="0"/>
        <w:autoSpaceDE/>
        <w:autoSpaceDN/>
        <w:bidi w:val="0"/>
        <w:adjustRightInd w:val="0"/>
        <w:snapToGrid w:val="0"/>
        <w:spacing w:line="360" w:lineRule="auto"/>
        <w:ind w:left="0" w:firstLine="0" w:firstLineChars="0"/>
        <w:jc w:val="center"/>
        <w:textAlignment w:val="auto"/>
        <w:outlineLvl w:val="0"/>
        <w:rPr>
          <w:rFonts w:hint="eastAsia" w:ascii="方正公文小标宋" w:hAnsi="方正公文小标宋" w:eastAsia="方正公文小标宋" w:cs="方正公文小标宋"/>
          <w:b/>
          <w:bCs/>
          <w:sz w:val="36"/>
          <w:szCs w:val="36"/>
          <w:lang w:eastAsia="zh-CN"/>
        </w:rPr>
      </w:pPr>
      <w:r>
        <w:rPr>
          <w:rFonts w:hint="eastAsia" w:ascii="方正公文小标宋" w:hAnsi="方正公文小标宋" w:eastAsia="方正公文小标宋" w:cs="方正公文小标宋"/>
          <w:b/>
          <w:bCs/>
          <w:sz w:val="36"/>
          <w:szCs w:val="36"/>
          <w:lang w:eastAsia="zh-CN"/>
        </w:rPr>
        <w:t>四川外国语大学中国语言文化学院</w:t>
      </w:r>
    </w:p>
    <w:p w14:paraId="0BAAAA55">
      <w:pPr>
        <w:pStyle w:val="10"/>
        <w:keepNext w:val="0"/>
        <w:keepLines w:val="0"/>
        <w:pageBreakBefore w:val="0"/>
        <w:widowControl/>
        <w:kinsoku/>
        <w:wordWrap/>
        <w:overflowPunct/>
        <w:topLinePunct w:val="0"/>
        <w:autoSpaceDE/>
        <w:autoSpaceDN/>
        <w:bidi w:val="0"/>
        <w:adjustRightInd w:val="0"/>
        <w:snapToGrid w:val="0"/>
        <w:spacing w:line="360" w:lineRule="auto"/>
        <w:ind w:left="0" w:firstLine="0" w:firstLineChars="0"/>
        <w:jc w:val="center"/>
        <w:textAlignment w:val="auto"/>
        <w:outlineLvl w:val="0"/>
        <w:rPr>
          <w:rFonts w:hint="eastAsia" w:ascii="方正公文小标宋" w:hAnsi="方正公文小标宋" w:eastAsia="方正公文小标宋" w:cs="方正公文小标宋"/>
          <w:b/>
          <w:bCs/>
          <w:sz w:val="36"/>
          <w:szCs w:val="36"/>
          <w:lang w:eastAsia="zh-CN"/>
        </w:rPr>
      </w:pPr>
      <w:r>
        <w:rPr>
          <w:rFonts w:hint="eastAsia" w:ascii="方正公文小标宋" w:hAnsi="方正公文小标宋" w:eastAsia="方正公文小标宋" w:cs="方正公文小标宋"/>
          <w:b/>
          <w:bCs/>
          <w:sz w:val="36"/>
          <w:szCs w:val="36"/>
        </w:rPr>
        <w:t>2026年教育部重庆高等研究院校企联合人才培养和科研攻关项目
研究生选拔</w:t>
      </w:r>
      <w:r>
        <w:rPr>
          <w:rFonts w:hint="eastAsia" w:ascii="方正公文小标宋" w:hAnsi="方正公文小标宋" w:eastAsia="方正公文小标宋" w:cs="方正公文小标宋"/>
          <w:b/>
          <w:bCs/>
          <w:sz w:val="36"/>
          <w:szCs w:val="36"/>
          <w:lang w:eastAsia="zh-CN"/>
        </w:rPr>
        <w:t>实施细则</w:t>
      </w:r>
    </w:p>
    <w:p w14:paraId="6C8F7D61">
      <w:pPr>
        <w:bidi w:val="0"/>
        <w:rPr>
          <w:rFonts w:hint="eastAsia"/>
        </w:rPr>
      </w:pPr>
    </w:p>
    <w:p w14:paraId="58CA4DA0">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color w:val="auto"/>
        </w:rPr>
      </w:pPr>
      <w:r>
        <w:rPr>
          <w:rFonts w:hint="eastAsia" w:ascii="方正公文黑体" w:hAnsi="方正公文黑体" w:eastAsia="方正公文黑体" w:cs="方正公文黑体"/>
          <w:b/>
          <w:bCs/>
          <w:color w:val="auto"/>
          <w:sz w:val="28"/>
          <w:szCs w:val="28"/>
        </w:rPr>
        <w:t>第一章 总则</w:t>
      </w:r>
    </w:p>
    <w:p w14:paraId="338246A6">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第一条</w:t>
      </w:r>
      <w:r>
        <w:rPr>
          <w:rFonts w:hint="eastAsia" w:ascii="方正仿宋_GB2312" w:hAnsi="方正仿宋_GB2312" w:eastAsia="方正仿宋_GB2312" w:cs="方正仿宋_GB2312"/>
          <w:sz w:val="24"/>
          <w:szCs w:val="24"/>
        </w:rPr>
        <w:t xml:space="preserve"> 为规范2026年教育部重庆高等研究院校企联合人才培养和科研攻关项目（以下简称“重庆高研院项目”）研究生选拔工作，确保选拔过程公平、公正、公开，根据《重庆市教育委员会等七部门关于开展2026年教育部重庆高等研究院校企联合人才培养和科研攻关项目申报工作的通知》（渝教研发〔2025〕5号）文件精神，结合</w:t>
      </w:r>
      <w:r>
        <w:rPr>
          <w:rFonts w:hint="eastAsia" w:ascii="方正仿宋_GB2312" w:hAnsi="方正仿宋_GB2312" w:eastAsia="方正仿宋_GB2312" w:cs="方正仿宋_GB2312"/>
          <w:sz w:val="24"/>
          <w:szCs w:val="24"/>
          <w:lang w:val="en-US" w:eastAsia="zh-CN"/>
        </w:rPr>
        <w:t>研究生培养</w:t>
      </w:r>
      <w:r>
        <w:rPr>
          <w:rFonts w:hint="eastAsia" w:ascii="方正仿宋_GB2312" w:hAnsi="方正仿宋_GB2312" w:eastAsia="方正仿宋_GB2312" w:cs="方正仿宋_GB2312"/>
          <w:sz w:val="24"/>
          <w:szCs w:val="24"/>
        </w:rPr>
        <w:t>实际，制定本办法。</w:t>
      </w:r>
    </w:p>
    <w:p w14:paraId="7DE486E9">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第二条</w:t>
      </w:r>
      <w:r>
        <w:rPr>
          <w:rFonts w:hint="eastAsia" w:ascii="方正仿宋_GB2312" w:hAnsi="方正仿宋_GB2312" w:eastAsia="方正仿宋_GB2312" w:cs="方正仿宋_GB2312"/>
          <w:sz w:val="24"/>
          <w:szCs w:val="24"/>
        </w:rPr>
        <w:t xml:space="preserve"> 本办法适用于国际中文教育专业学位硕士点2026级全日制硕士研究生新生参与重庆高研院项目的选拔工作。</w:t>
      </w:r>
    </w:p>
    <w:p w14:paraId="3E9C84A2">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第三条</w:t>
      </w:r>
      <w:r>
        <w:rPr>
          <w:rFonts w:hint="eastAsia" w:ascii="方正仿宋_GB2312" w:hAnsi="方正仿宋_GB2312" w:eastAsia="方正仿宋_GB2312" w:cs="方正仿宋_GB2312"/>
          <w:sz w:val="24"/>
          <w:szCs w:val="24"/>
        </w:rPr>
        <w:t xml:space="preserve"> 选拔工作坚持“公平公正、择优录取、双向选择”的原则，采取材料审核与综合面试相结合的方式进行。</w:t>
      </w:r>
    </w:p>
    <w:p w14:paraId="361BE06F">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b/>
          <w:bCs/>
          <w:color w:val="auto"/>
          <w:sz w:val="28"/>
          <w:szCs w:val="28"/>
        </w:rPr>
      </w:pPr>
      <w:r>
        <w:rPr>
          <w:rFonts w:hint="eastAsia" w:ascii="方正公文黑体" w:hAnsi="方正公文黑体" w:eastAsia="方正公文黑体" w:cs="方正公文黑体"/>
          <w:b/>
          <w:bCs/>
          <w:color w:val="auto"/>
          <w:sz w:val="28"/>
          <w:szCs w:val="28"/>
        </w:rPr>
        <w:t>第二章 选拔对象与条件</w:t>
      </w:r>
    </w:p>
    <w:p w14:paraId="42C82C3B">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第四条</w:t>
      </w:r>
      <w:r>
        <w:rPr>
          <w:rFonts w:hint="eastAsia" w:ascii="方正仿宋_GB2312" w:hAnsi="方正仿宋_GB2312" w:eastAsia="方正仿宋_GB2312" w:cs="方正仿宋_GB2312"/>
          <w:sz w:val="24"/>
          <w:szCs w:val="24"/>
        </w:rPr>
        <w:t xml:space="preserve"> 选拔对象为国际中文教育专业学位2026级全日制硕士研究生新生，计划选拔2名。</w:t>
      </w:r>
    </w:p>
    <w:p w14:paraId="58C3338D">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第五条</w:t>
      </w:r>
      <w:r>
        <w:rPr>
          <w:rFonts w:hint="eastAsia" w:ascii="方正仿宋_GB2312" w:hAnsi="方正仿宋_GB2312" w:eastAsia="方正仿宋_GB2312" w:cs="方正仿宋_GB2312"/>
          <w:sz w:val="24"/>
          <w:szCs w:val="24"/>
        </w:rPr>
        <w:t xml:space="preserve"> 申请人须同时具备以下基本条件：</w:t>
      </w:r>
    </w:p>
    <w:p w14:paraId="155AD49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已正式注册为我院国际中文教育专业2026级全日制硕士研究生；</w:t>
      </w:r>
    </w:p>
    <w:p w14:paraId="281238E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品行端正，无学术不端行为记录；</w:t>
      </w:r>
    </w:p>
    <w:p w14:paraId="6C56007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对智能网联汽车人机交互、语音数据处理、大语言模型应用等研究方向具有浓厚兴趣；</w:t>
      </w:r>
    </w:p>
    <w:p w14:paraId="3BFE6DD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具备较好的英语能力，能阅读本专业英文文献；</w:t>
      </w:r>
    </w:p>
    <w:p w14:paraId="075F654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具有较强的团队协作精神和沟通表达能力；</w:t>
      </w:r>
    </w:p>
    <w:p w14:paraId="1F0D27A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身心健康，能适应校企联合培养的工作节奏和环境要求。</w:t>
      </w:r>
    </w:p>
    <w:p w14:paraId="13151D8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第六条 在同等条件下，优先选拔具备以下条件者：</w:t>
      </w:r>
    </w:p>
    <w:p w14:paraId="1E2AFC3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本科阶段参与过科研项目或学术竞赛并获奖；</w:t>
      </w:r>
    </w:p>
    <w:p w14:paraId="34F3A73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lang w:eastAsia="zh-CN"/>
        </w:rPr>
      </w:pPr>
      <w:r>
        <w:rPr>
          <w:rFonts w:hint="eastAsia" w:ascii="方正仿宋_GB2312" w:hAnsi="方正仿宋_GB2312" w:eastAsia="方正仿宋_GB2312" w:cs="方正仿宋_GB2312"/>
          <w:sz w:val="24"/>
          <w:szCs w:val="24"/>
        </w:rPr>
        <w:t>• 具有语言学、计算机科学、人工智能等相关交叉学科学习背景</w:t>
      </w:r>
      <w:r>
        <w:rPr>
          <w:rFonts w:hint="eastAsia" w:ascii="方正仿宋_GB2312" w:hAnsi="方正仿宋_GB2312" w:eastAsia="方正仿宋_GB2312" w:cs="方正仿宋_GB2312"/>
          <w:sz w:val="24"/>
          <w:szCs w:val="24"/>
          <w:lang w:eastAsia="zh-CN"/>
        </w:rPr>
        <w:t>。</w:t>
      </w:r>
    </w:p>
    <w:p w14:paraId="034FD51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p>
    <w:p w14:paraId="68FA4A9D">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b/>
          <w:bCs/>
          <w:color w:val="auto"/>
          <w:sz w:val="28"/>
          <w:szCs w:val="28"/>
        </w:rPr>
      </w:pPr>
      <w:r>
        <w:rPr>
          <w:rFonts w:hint="eastAsia" w:ascii="方正公文黑体" w:hAnsi="方正公文黑体" w:eastAsia="方正公文黑体" w:cs="方正公文黑体"/>
          <w:b/>
          <w:bCs/>
          <w:color w:val="auto"/>
          <w:sz w:val="28"/>
          <w:szCs w:val="28"/>
        </w:rPr>
        <w:t>第三章 选拔程序</w:t>
      </w:r>
    </w:p>
    <w:p w14:paraId="73D913F0">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第七条</w:t>
      </w:r>
      <w:r>
        <w:rPr>
          <w:rFonts w:hint="eastAsia" w:ascii="方正仿宋_GB2312" w:hAnsi="方正仿宋_GB2312" w:eastAsia="方正仿宋_GB2312" w:cs="方正仿宋_GB2312"/>
          <w:sz w:val="24"/>
          <w:szCs w:val="24"/>
        </w:rPr>
        <w:t xml:space="preserve"> 选拔工作按以下程序进行：</w:t>
      </w:r>
    </w:p>
    <w:p w14:paraId="23AD42C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（一）发布通知</w:t>
      </w:r>
    </w:p>
    <w:p w14:paraId="46067BF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学院面向全体师生发布选拔通知，明确选拔条件、报名材料、时间安排等事项。</w:t>
      </w:r>
    </w:p>
    <w:p w14:paraId="1C62577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（二）个人申请</w:t>
      </w:r>
    </w:p>
    <w:p w14:paraId="3A81B41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符合条件的学生自愿报名，在规定时间内提交以下材料：</w:t>
      </w:r>
    </w:p>
    <w:p w14:paraId="63E81DB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《重庆高研院项目研究生选拔申请表》；</w:t>
      </w:r>
    </w:p>
    <w:p w14:paraId="694BB6A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个人简历；</w:t>
      </w:r>
    </w:p>
    <w:p w14:paraId="68A9494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相关证明材料（获奖证书、科研成果等）。</w:t>
      </w:r>
    </w:p>
    <w:p w14:paraId="264D199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（三）材料初审</w:t>
      </w:r>
    </w:p>
    <w:p w14:paraId="5AC2103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学院研究生办公室对报名材料进行资格审查和初步筛选，确定进入面试环节的学生名单。</w:t>
      </w:r>
    </w:p>
    <w:p w14:paraId="2E4EA98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（四）综合面试</w:t>
      </w:r>
    </w:p>
    <w:p w14:paraId="13BEB19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学院组织由3-5名专家组成的面试评审小组，对通过初审的学生进行面试。面试内容包括：</w:t>
      </w:r>
    </w:p>
    <w:p w14:paraId="7423DA1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学术基础与专业知识；</w:t>
      </w:r>
    </w:p>
    <w:p w14:paraId="6F45C6E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科研潜力与创新思维；</w:t>
      </w:r>
    </w:p>
    <w:p w14:paraId="5856B00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对项目研究方向的理解与认识；</w:t>
      </w:r>
    </w:p>
    <w:p w14:paraId="4B1C423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职业规划与发展目标；</w:t>
      </w:r>
    </w:p>
    <w:p w14:paraId="0B362E3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英语表达与沟通能力。</w:t>
      </w:r>
    </w:p>
    <w:p w14:paraId="689A1CE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（五）综合评定</w:t>
      </w:r>
    </w:p>
    <w:p w14:paraId="57AEFB9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综合成绩由材料审核成绩（占40%）和面试成绩（占60%）组成，按综合得分从高到低排序，确定拟入选名单。</w:t>
      </w:r>
    </w:p>
    <w:p w14:paraId="22450C7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（六）</w:t>
      </w:r>
      <w:r>
        <w:rPr>
          <w:rFonts w:hint="eastAsia" w:ascii="方正仿宋_GB2312" w:hAnsi="方正仿宋_GB2312" w:eastAsia="方正仿宋_GB2312" w:cs="方正仿宋_GB2312"/>
          <w:sz w:val="24"/>
          <w:szCs w:val="24"/>
          <w:lang w:eastAsia="zh-CN"/>
        </w:rPr>
        <w:t>审核</w:t>
      </w:r>
      <w:r>
        <w:rPr>
          <w:rFonts w:hint="eastAsia" w:ascii="方正仿宋_GB2312" w:hAnsi="方正仿宋_GB2312" w:eastAsia="方正仿宋_GB2312" w:cs="方正仿宋_GB2312"/>
          <w:sz w:val="24"/>
          <w:szCs w:val="24"/>
        </w:rPr>
        <w:t>上报</w:t>
      </w:r>
    </w:p>
    <w:p w14:paraId="751F421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拟入选名单经学院党政联席会议审</w:t>
      </w:r>
      <w:r>
        <w:rPr>
          <w:rFonts w:hint="eastAsia" w:ascii="方正仿宋_GB2312" w:hAnsi="方正仿宋_GB2312" w:eastAsia="方正仿宋_GB2312" w:cs="方正仿宋_GB2312"/>
          <w:color w:val="auto"/>
          <w:sz w:val="24"/>
          <w:szCs w:val="24"/>
          <w:lang w:eastAsia="zh-CN"/>
        </w:rPr>
        <w:t>核</w:t>
      </w:r>
      <w:r>
        <w:rPr>
          <w:rFonts w:hint="eastAsia" w:ascii="方正仿宋_GB2312" w:hAnsi="方正仿宋_GB2312" w:eastAsia="方正仿宋_GB2312" w:cs="方正仿宋_GB2312"/>
          <w:sz w:val="24"/>
          <w:szCs w:val="24"/>
        </w:rPr>
        <w:t>后</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报学校研究生院备案。</w:t>
      </w:r>
    </w:p>
    <w:p w14:paraId="4B1D864E">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b/>
          <w:bCs/>
          <w:color w:val="auto"/>
          <w:sz w:val="28"/>
          <w:szCs w:val="28"/>
        </w:rPr>
      </w:pPr>
      <w:r>
        <w:rPr>
          <w:rFonts w:hint="eastAsia" w:ascii="方正公文黑体" w:hAnsi="方正公文黑体" w:eastAsia="方正公文黑体" w:cs="方正公文黑体"/>
          <w:b/>
          <w:bCs/>
          <w:color w:val="auto"/>
          <w:sz w:val="28"/>
          <w:szCs w:val="28"/>
        </w:rPr>
        <w:t>第四章 组织保障</w:t>
      </w:r>
    </w:p>
    <w:p w14:paraId="6961A21F">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第八条</w:t>
      </w:r>
      <w:r>
        <w:rPr>
          <w:rFonts w:hint="eastAsia" w:ascii="方正仿宋_GB2312" w:hAnsi="方正仿宋_GB2312" w:eastAsia="方正仿宋_GB2312" w:cs="方正仿宋_GB2312"/>
          <w:sz w:val="24"/>
          <w:szCs w:val="24"/>
        </w:rPr>
        <w:t xml:space="preserve"> 学院成立选拔工作领导小组，由学院分管领导任组长，研究生教育负责人、相关学科带头人及纪检委员为成员，负责选拔工作的组织领导和监督。</w:t>
      </w:r>
    </w:p>
    <w:p w14:paraId="6A050A3C">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第九条</w:t>
      </w:r>
      <w:r>
        <w:rPr>
          <w:rFonts w:hint="eastAsia" w:ascii="方正仿宋_GB2312" w:hAnsi="方正仿宋_GB2312" w:eastAsia="方正仿宋_GB2312" w:cs="方正仿宋_GB2312"/>
          <w:sz w:val="24"/>
          <w:szCs w:val="24"/>
        </w:rPr>
        <w:t xml:space="preserve"> 面试评审小组成员应具有较高的学术水平和丰富的研究生指导经验，与申请人存在利害关系的专家应主动回避。</w:t>
      </w:r>
    </w:p>
    <w:p w14:paraId="191B201E">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第十条</w:t>
      </w:r>
      <w:r>
        <w:rPr>
          <w:rFonts w:hint="eastAsia" w:ascii="方正仿宋_GB2312" w:hAnsi="方正仿宋_GB2312" w:eastAsia="方正仿宋_GB2312" w:cs="方正仿宋_GB2312"/>
          <w:sz w:val="24"/>
          <w:szCs w:val="24"/>
        </w:rPr>
        <w:t xml:space="preserve"> 选拔工作全程接受学院纪检委员监督，确保程序规范、过程透明、结果公正。</w:t>
      </w:r>
    </w:p>
    <w:p w14:paraId="57D466D7">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b/>
          <w:bCs/>
          <w:color w:val="auto"/>
          <w:sz w:val="28"/>
          <w:szCs w:val="28"/>
        </w:rPr>
      </w:pPr>
      <w:r>
        <w:rPr>
          <w:rFonts w:hint="eastAsia" w:ascii="方正公文黑体" w:hAnsi="方正公文黑体" w:eastAsia="方正公文黑体" w:cs="方正公文黑体"/>
          <w:b/>
          <w:bCs/>
          <w:color w:val="auto"/>
          <w:sz w:val="28"/>
          <w:szCs w:val="28"/>
        </w:rPr>
        <w:t>第五章 纪律与监督</w:t>
      </w:r>
    </w:p>
    <w:p w14:paraId="55B85573">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第十一条</w:t>
      </w:r>
      <w:r>
        <w:rPr>
          <w:rFonts w:hint="eastAsia" w:ascii="方正仿宋_GB2312" w:hAnsi="方正仿宋_GB2312" w:eastAsia="方正仿宋_GB2312" w:cs="方正仿宋_GB2312"/>
          <w:sz w:val="24"/>
          <w:szCs w:val="24"/>
        </w:rPr>
        <w:t xml:space="preserve"> 申请人应如实提交材料，如有弄虚作假行为，一经查实，取消选拔资格。</w:t>
      </w:r>
    </w:p>
    <w:p w14:paraId="314B2F77">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第十二条</w:t>
      </w:r>
      <w:r>
        <w:rPr>
          <w:rFonts w:hint="eastAsia" w:ascii="方正仿宋_GB2312" w:hAnsi="方正仿宋_GB2312" w:eastAsia="方正仿宋_GB2312" w:cs="方正仿宋_GB2312"/>
          <w:sz w:val="24"/>
          <w:szCs w:val="24"/>
        </w:rPr>
        <w:t xml:space="preserve"> 评审专家应严格遵守评审纪律，客观公正地进行评价，不得泄露评审信息。</w:t>
      </w:r>
    </w:p>
    <w:p w14:paraId="4FECC705">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第十三条</w:t>
      </w:r>
      <w:r>
        <w:rPr>
          <w:rFonts w:hint="eastAsia" w:ascii="方正仿宋_GB2312" w:hAnsi="方正仿宋_GB2312" w:eastAsia="方正仿宋_GB2312" w:cs="方正仿宋_GB2312"/>
          <w:sz w:val="24"/>
          <w:szCs w:val="24"/>
        </w:rPr>
        <w:t xml:space="preserve"> 学生对选拔结果有异议的，可在公示期内向学院选拔工作领导小组提出书面申诉，学院应在收到申诉后5个工作日内予以答复。</w:t>
      </w:r>
    </w:p>
    <w:p w14:paraId="4A027750">
      <w:pPr>
        <w:pStyle w:val="2"/>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方正公文黑体" w:hAnsi="方正公文黑体" w:eastAsia="方正公文黑体" w:cs="方正公文黑体"/>
          <w:b/>
          <w:bCs/>
          <w:color w:val="auto"/>
          <w:sz w:val="28"/>
          <w:szCs w:val="28"/>
        </w:rPr>
      </w:pPr>
      <w:r>
        <w:rPr>
          <w:rFonts w:hint="eastAsia" w:ascii="方正公文黑体" w:hAnsi="方正公文黑体" w:eastAsia="方正公文黑体" w:cs="方正公文黑体"/>
          <w:b/>
          <w:bCs/>
          <w:color w:val="auto"/>
          <w:sz w:val="28"/>
          <w:szCs w:val="28"/>
        </w:rPr>
        <w:t>第六章 附则</w:t>
      </w:r>
    </w:p>
    <w:p w14:paraId="4C83121A">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第十四条</w:t>
      </w:r>
      <w:r>
        <w:rPr>
          <w:rFonts w:hint="eastAsia" w:ascii="方正仿宋_GB2312" w:hAnsi="方正仿宋_GB2312" w:eastAsia="方正仿宋_GB2312" w:cs="方正仿宋_GB2312"/>
          <w:sz w:val="24"/>
          <w:szCs w:val="24"/>
        </w:rPr>
        <w:t xml:space="preserve"> 本办法未尽事宜，由学院选拔工作领导小组研究决定。</w:t>
      </w:r>
    </w:p>
    <w:p w14:paraId="0065AFC2">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第十五条</w:t>
      </w:r>
      <w:r>
        <w:rPr>
          <w:rFonts w:hint="eastAsia" w:ascii="方正仿宋_GB2312" w:hAnsi="方正仿宋_GB2312" w:eastAsia="方正仿宋_GB2312" w:cs="方正仿宋_GB2312"/>
          <w:sz w:val="24"/>
          <w:szCs w:val="24"/>
        </w:rPr>
        <w:t xml:space="preserve"> 本办法由中国语言文化学院负责解释。</w:t>
      </w:r>
    </w:p>
    <w:p w14:paraId="697D33CB">
      <w:pPr>
        <w:keepNext w:val="0"/>
        <w:keepLines w:val="0"/>
        <w:pageBreakBefore w:val="0"/>
        <w:kinsoku/>
        <w:wordWrap/>
        <w:overflowPunct/>
        <w:topLinePunct w:val="0"/>
        <w:autoSpaceDE/>
        <w:autoSpaceDN/>
        <w:bidi w:val="0"/>
        <w:adjustRightInd w:val="0"/>
        <w:snapToGrid w:val="0"/>
        <w:spacing w:before="0" w:line="360" w:lineRule="auto"/>
        <w:ind w:left="0" w:firstLine="482"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b/>
          <w:bCs/>
          <w:sz w:val="24"/>
          <w:szCs w:val="24"/>
        </w:rPr>
        <w:t>第十六条</w:t>
      </w:r>
      <w:r>
        <w:rPr>
          <w:rFonts w:hint="eastAsia" w:ascii="方正仿宋_GB2312" w:hAnsi="方正仿宋_GB2312" w:eastAsia="方正仿宋_GB2312" w:cs="方正仿宋_GB2312"/>
          <w:sz w:val="24"/>
          <w:szCs w:val="24"/>
        </w:rPr>
        <w:t xml:space="preserve"> 本办法自发布之日起施行。</w:t>
      </w:r>
    </w:p>
    <w:p w14:paraId="3455543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p>
    <w:p w14:paraId="5800FDA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四川外国语大学</w:t>
      </w:r>
      <w:r>
        <w:rPr>
          <w:rFonts w:hint="eastAsia" w:ascii="方正仿宋_GB2312" w:hAnsi="方正仿宋_GB2312" w:eastAsia="方正仿宋_GB2312" w:cs="方正仿宋_GB2312"/>
          <w:sz w:val="24"/>
          <w:szCs w:val="24"/>
          <w:highlight w:val="none"/>
        </w:rPr>
        <w:t>中国语言文化学院</w:t>
      </w:r>
    </w:p>
    <w:p w14:paraId="4064929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2026年9月17日</w:t>
      </w:r>
    </w:p>
    <w:p w14:paraId="5EA4FB0F">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附：《重庆高研院项目研究生选拔申请表》</w:t>
      </w:r>
    </w:p>
    <w:p w14:paraId="34E0047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sz w:val="24"/>
          <w:szCs w:val="24"/>
        </w:rPr>
      </w:pPr>
    </w:p>
    <w:p w14:paraId="6FD6026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sz w:val="24"/>
          <w:szCs w:val="24"/>
        </w:rPr>
        <w:sectPr>
          <w:footerReference r:id="rId3" w:type="default"/>
          <w:pgSz w:w="11906" w:h="16838"/>
          <w:pgMar w:top="1440" w:right="1440" w:bottom="1440" w:left="1440" w:header="708" w:footer="708" w:gutter="0"/>
          <w:pgNumType w:start="1"/>
          <w:cols w:space="720" w:num="1"/>
          <w:docGrid w:linePitch="360" w:charSpace="0"/>
        </w:sectPr>
      </w:pPr>
    </w:p>
    <w:p w14:paraId="13A078DC">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b/>
          <w:bCs/>
          <w:sz w:val="36"/>
          <w:szCs w:val="36"/>
          <w:lang w:val="en-US" w:eastAsia="zh-CN"/>
        </w:rPr>
      </w:pPr>
      <w:bookmarkStart w:id="0" w:name="_GoBack"/>
      <w:r>
        <w:rPr>
          <w:rFonts w:hint="eastAsia" w:ascii="方正仿宋_GB2312" w:hAnsi="方正仿宋_GB2312" w:eastAsia="方正仿宋_GB2312" w:cs="方正仿宋_GB2312"/>
          <w:b/>
          <w:bCs/>
          <w:sz w:val="36"/>
          <w:szCs w:val="36"/>
          <w:lang w:val="en-US" w:eastAsia="zh-CN"/>
        </w:rPr>
        <w:t>附：重庆高研院项目研究生选拔申请表</w:t>
      </w:r>
    </w:p>
    <w:bookmarkEnd w:id="0"/>
    <w:p w14:paraId="4885FDBE">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lang w:val="en-US"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10"/>
        <w:gridCol w:w="2310"/>
        <w:gridCol w:w="2311"/>
        <w:gridCol w:w="2311"/>
      </w:tblGrid>
      <w:tr w14:paraId="1954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10" w:type="dxa"/>
          </w:tcPr>
          <w:p w14:paraId="2544090C">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姓名</w:t>
            </w:r>
          </w:p>
        </w:tc>
        <w:tc>
          <w:tcPr>
            <w:tcW w:w="2310" w:type="dxa"/>
          </w:tcPr>
          <w:p w14:paraId="52098FFF">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4F05C48B">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
                <w:bCs/>
                <w:sz w:val="21"/>
                <w:szCs w:val="21"/>
                <w:lang w:val="en-US" w:eastAsia="zh-CN"/>
              </w:rPr>
            </w:pPr>
            <w:r>
              <w:rPr>
                <w:rFonts w:hint="eastAsia" w:cs="Times New Roman"/>
                <w:b/>
                <w:bCs/>
                <w:sz w:val="21"/>
                <w:szCs w:val="21"/>
                <w:lang w:val="en-US" w:eastAsia="zh-CN"/>
              </w:rPr>
              <w:t>性别</w:t>
            </w:r>
          </w:p>
        </w:tc>
        <w:tc>
          <w:tcPr>
            <w:tcW w:w="2311" w:type="dxa"/>
          </w:tcPr>
          <w:p w14:paraId="4C97C15A">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71E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10" w:type="dxa"/>
          </w:tcPr>
          <w:p w14:paraId="7AFF5D13">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Times New Roman" w:hAnsi="Times New Roman" w:eastAsia="宋体" w:cs="Times New Roman"/>
                <w:b/>
                <w:bCs/>
                <w:sz w:val="21"/>
                <w:szCs w:val="21"/>
                <w:lang w:val="en-US" w:eastAsia="zh-CN"/>
              </w:rPr>
            </w:pPr>
            <w:r>
              <w:rPr>
                <w:rFonts w:ascii="Times New Roman" w:hAnsi="Times New Roman" w:eastAsia="宋体" w:cs="Times New Roman"/>
                <w:b/>
                <w:bCs/>
                <w:sz w:val="21"/>
                <w:szCs w:val="21"/>
              </w:rPr>
              <w:t>学号</w:t>
            </w:r>
          </w:p>
        </w:tc>
        <w:tc>
          <w:tcPr>
            <w:tcW w:w="2310" w:type="dxa"/>
          </w:tcPr>
          <w:p w14:paraId="798B00B7">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39B1E1ED">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民族</w:t>
            </w:r>
          </w:p>
        </w:tc>
        <w:tc>
          <w:tcPr>
            <w:tcW w:w="2311" w:type="dxa"/>
          </w:tcPr>
          <w:p w14:paraId="4F366216">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7A48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10" w:type="dxa"/>
          </w:tcPr>
          <w:p w14:paraId="1A0D3907">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政治面貌</w:t>
            </w:r>
          </w:p>
        </w:tc>
        <w:tc>
          <w:tcPr>
            <w:tcW w:w="2310" w:type="dxa"/>
          </w:tcPr>
          <w:p w14:paraId="0C04CB87">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0A34148C">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语言水平</w:t>
            </w:r>
          </w:p>
        </w:tc>
        <w:tc>
          <w:tcPr>
            <w:tcW w:w="2311" w:type="dxa"/>
          </w:tcPr>
          <w:p w14:paraId="414885EF">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3D21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10" w:type="dxa"/>
          </w:tcPr>
          <w:p w14:paraId="2E4D55CD">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本科专业</w:t>
            </w:r>
          </w:p>
        </w:tc>
        <w:tc>
          <w:tcPr>
            <w:tcW w:w="2310" w:type="dxa"/>
          </w:tcPr>
          <w:p w14:paraId="47D3103C">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1E18A2E4">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联系电话</w:t>
            </w:r>
          </w:p>
        </w:tc>
        <w:tc>
          <w:tcPr>
            <w:tcW w:w="2311" w:type="dxa"/>
          </w:tcPr>
          <w:p w14:paraId="162DFED6">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154D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10" w:type="dxa"/>
          </w:tcPr>
          <w:p w14:paraId="450FE50F">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本科院校</w:t>
            </w:r>
          </w:p>
        </w:tc>
        <w:tc>
          <w:tcPr>
            <w:tcW w:w="2310" w:type="dxa"/>
          </w:tcPr>
          <w:p w14:paraId="1CFB7175">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336FDF71">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电子邮箱</w:t>
            </w:r>
          </w:p>
        </w:tc>
        <w:tc>
          <w:tcPr>
            <w:tcW w:w="2311" w:type="dxa"/>
          </w:tcPr>
          <w:p w14:paraId="5512B2C7">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133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10" w:type="dxa"/>
          </w:tcPr>
          <w:p w14:paraId="45A7EBAA">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ascii="Times New Roman" w:hAnsi="Times New Roman" w:eastAsia="宋体" w:cs="Times New Roman"/>
                <w:b/>
                <w:bCs/>
                <w:sz w:val="21"/>
                <w:szCs w:val="21"/>
              </w:rPr>
            </w:pPr>
            <w:r>
              <w:rPr>
                <w:rFonts w:ascii="Times New Roman" w:hAnsi="Times New Roman" w:eastAsia="宋体" w:cs="Times New Roman"/>
                <w:b/>
                <w:bCs/>
                <w:sz w:val="21"/>
                <w:szCs w:val="21"/>
              </w:rPr>
              <w:t>英语等级及成绩</w:t>
            </w:r>
          </w:p>
        </w:tc>
        <w:tc>
          <w:tcPr>
            <w:tcW w:w="2310" w:type="dxa"/>
          </w:tcPr>
          <w:p w14:paraId="41ED10EB">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c>
          <w:tcPr>
            <w:tcW w:w="2311" w:type="dxa"/>
          </w:tcPr>
          <w:p w14:paraId="76B502B5">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GPA/均分</w:t>
            </w:r>
          </w:p>
        </w:tc>
        <w:tc>
          <w:tcPr>
            <w:tcW w:w="2311" w:type="dxa"/>
          </w:tcPr>
          <w:p w14:paraId="1C15AE11">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p>
        </w:tc>
      </w:tr>
      <w:tr w14:paraId="5601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9" w:hRule="atLeast"/>
        </w:trPr>
        <w:tc>
          <w:tcPr>
            <w:tcW w:w="9242" w:type="dxa"/>
            <w:gridSpan w:val="4"/>
            <w:tcBorders/>
          </w:tcPr>
          <w:p w14:paraId="163ACF05">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二、科研与竞赛经历（含获奖情况）</w:t>
            </w:r>
          </w:p>
        </w:tc>
      </w:tr>
      <w:tr w14:paraId="4235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9" w:hRule="atLeast"/>
        </w:trPr>
        <w:tc>
          <w:tcPr>
            <w:tcW w:w="9242" w:type="dxa"/>
            <w:gridSpan w:val="4"/>
            <w:tcBorders/>
          </w:tcPr>
          <w:p w14:paraId="27CE9B66">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vertAlign w:val="baseline"/>
                <w:lang w:val="en-US" w:eastAsia="zh-CN"/>
              </w:rPr>
            </w:pPr>
            <w:r>
              <w:rPr>
                <w:rFonts w:ascii="Times New Roman" w:hAnsi="Times New Roman" w:eastAsia="宋体" w:cs="Times New Roman"/>
                <w:b/>
                <w:bCs/>
                <w:sz w:val="21"/>
                <w:szCs w:val="21"/>
              </w:rPr>
              <w:t>三、交叉学科背景（如语言学、计算机科学、人工智能等）</w:t>
            </w:r>
          </w:p>
        </w:tc>
      </w:tr>
      <w:tr w14:paraId="4D63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242" w:type="dxa"/>
            <w:gridSpan w:val="4"/>
          </w:tcPr>
          <w:p w14:paraId="00064483">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ascii="Times New Roman" w:hAnsi="Times New Roman" w:eastAsia="宋体" w:cs="Times New Roman"/>
                <w:b/>
                <w:bCs/>
                <w:sz w:val="21"/>
                <w:szCs w:val="21"/>
              </w:rPr>
            </w:pPr>
            <w:r>
              <w:rPr>
                <w:rFonts w:ascii="Times New Roman" w:hAnsi="Times New Roman" w:eastAsia="宋体" w:cs="Times New Roman"/>
                <w:b/>
                <w:bCs/>
                <w:sz w:val="21"/>
                <w:szCs w:val="21"/>
              </w:rPr>
              <w:t>四、申请陈述（对智能网联汽车人机交互、语音数据处理、大语言模型等研究方向的兴趣及认识，不少于200字）</w:t>
            </w:r>
          </w:p>
          <w:p w14:paraId="56806908">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Times New Roman" w:hAnsi="Times New Roman" w:eastAsia="宋体" w:cs="Times New Roman"/>
                <w:b/>
                <w:bCs/>
                <w:sz w:val="21"/>
                <w:szCs w:val="21"/>
                <w:lang w:val="en-US" w:eastAsia="zh-CN"/>
              </w:rPr>
            </w:pPr>
          </w:p>
          <w:p w14:paraId="2FF253D5">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Times New Roman" w:hAnsi="Times New Roman" w:eastAsia="宋体" w:cs="Times New Roman"/>
                <w:b/>
                <w:bCs/>
                <w:sz w:val="21"/>
                <w:szCs w:val="21"/>
                <w:lang w:val="en-US" w:eastAsia="zh-CN"/>
              </w:rPr>
            </w:pPr>
          </w:p>
          <w:p w14:paraId="0A72CADC">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Times New Roman" w:hAnsi="Times New Roman" w:eastAsia="宋体" w:cs="Times New Roman"/>
                <w:b/>
                <w:bCs/>
                <w:sz w:val="21"/>
                <w:szCs w:val="21"/>
                <w:lang w:val="en-US" w:eastAsia="zh-CN"/>
              </w:rPr>
            </w:pPr>
          </w:p>
        </w:tc>
      </w:tr>
      <w:tr w14:paraId="1D7C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242" w:type="dxa"/>
            <w:gridSpan w:val="4"/>
          </w:tcPr>
          <w:p w14:paraId="755B5D7B">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cs="Times New Roman"/>
                <w:b/>
                <w:bCs/>
                <w:sz w:val="21"/>
                <w:szCs w:val="21"/>
                <w:lang w:val="en-US" w:eastAsia="zh-CN"/>
              </w:rPr>
            </w:pPr>
            <w:r>
              <w:rPr>
                <w:rFonts w:hint="eastAsia" w:cs="Times New Roman"/>
                <w:b/>
                <w:bCs/>
                <w:sz w:val="21"/>
                <w:szCs w:val="21"/>
                <w:lang w:val="en-US" w:eastAsia="zh-CN"/>
              </w:rPr>
              <w:t>本人签名：</w:t>
            </w:r>
          </w:p>
          <w:p w14:paraId="6A1F77FD">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cs="Times New Roman"/>
                <w:b/>
                <w:bCs/>
                <w:sz w:val="21"/>
                <w:szCs w:val="21"/>
                <w:lang w:val="en-US" w:eastAsia="zh-CN"/>
              </w:rPr>
            </w:pPr>
          </w:p>
          <w:p w14:paraId="299B8253">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default" w:cs="Times New Roman"/>
                <w:b/>
                <w:bCs/>
                <w:sz w:val="21"/>
                <w:szCs w:val="21"/>
                <w:lang w:val="en-US" w:eastAsia="zh-CN"/>
              </w:rPr>
            </w:pPr>
          </w:p>
        </w:tc>
      </w:tr>
    </w:tbl>
    <w:p w14:paraId="6D58D8E8">
      <w:pPr>
        <w:keepNext w:val="0"/>
        <w:keepLines w:val="0"/>
        <w:pageBreakBefore w:val="0"/>
        <w:kinsoku/>
        <w:wordWrap/>
        <w:overflowPunct/>
        <w:topLinePunct w:val="0"/>
        <w:autoSpaceDE/>
        <w:autoSpaceDN/>
        <w:bidi w:val="0"/>
        <w:adjustRightInd w:val="0"/>
        <w:snapToGrid w:val="0"/>
        <w:spacing w:before="0" w:line="360" w:lineRule="auto"/>
        <w:jc w:val="both"/>
        <w:textAlignment w:val="auto"/>
        <w:rPr>
          <w:rFonts w:hint="eastAsia" w:ascii="方正仿宋_GB2312" w:hAnsi="方正仿宋_GB2312" w:eastAsia="方正仿宋_GB2312" w:cs="方正仿宋_GB2312"/>
          <w:sz w:val="24"/>
          <w:szCs w:val="24"/>
          <w:lang w:val="en-US" w:eastAsia="zh-CN"/>
        </w:rPr>
      </w:pPr>
    </w:p>
    <w:sectPr>
      <w:pgSz w:w="11906" w:h="16838"/>
      <w:pgMar w:top="1440" w:right="1440" w:bottom="1440" w:left="144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46AEED52-9266-4A28-9CA7-26E99EB6F090}"/>
  </w:font>
  <w:font w:name="方正公文黑体">
    <w:panose1 w:val="02000500000000000000"/>
    <w:charset w:val="86"/>
    <w:family w:val="auto"/>
    <w:pitch w:val="default"/>
    <w:sig w:usb0="A00002BF" w:usb1="38CF7CFA" w:usb2="00000016" w:usb3="00000000" w:csb0="00040001" w:csb1="00000000"/>
    <w:embedRegular r:id="rId2" w:fontKey="{299F61A7-10C3-45CF-A9CC-D951ED648F9D}"/>
  </w:font>
  <w:font w:name="方正仿宋_GB2312">
    <w:panose1 w:val="02000000000000000000"/>
    <w:charset w:val="86"/>
    <w:family w:val="auto"/>
    <w:pitch w:val="default"/>
    <w:sig w:usb0="A00002BF" w:usb1="184F6CFA" w:usb2="00000012" w:usb3="00000000" w:csb0="00040001" w:csb1="00000000"/>
    <w:embedRegular r:id="rId3" w:fontKey="{D01AD41E-7999-4D34-85E3-5228218D3BC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96EAF">
    <w:pPr>
      <w:jc w:val="center"/>
    </w:pPr>
    <w:r>
      <w:t xml:space="preserve">第 </w:t>
    </w:r>
    <w:r>
      <w:fldChar w:fldCharType="begin"/>
    </w:r>
    <w:r>
      <w:instrText xml:space="preserve">PAGE</w:instrText>
    </w:r>
    <w:r>
      <w:fldChar w:fldCharType="separate"/>
    </w:r>
    <w:r>
      <w:fldChar w:fldCharType="end"/>
    </w:r>
    <w:r>
      <w:t xml:space="preserve"> 页，共 </w:t>
    </w:r>
    <w:r>
      <w:fldChar w:fldCharType="begin"/>
    </w:r>
    <w:r>
      <w:instrText xml:space="preserve">NUMPAGES</w:instrText>
    </w:r>
    <w:r>
      <w:fldChar w:fldCharType="separate"/>
    </w:r>
    <w:r>
      <w:fldChar w:fldCharType="end"/>
    </w:r>
    <w: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embedTrueTypeFonts/>
  <w:saveSubsetFonts/>
  <w:documentProtection w:enforcement="0"/>
  <w:compat>
    <w:useFELayout/>
    <w:compatSetting w:name="compatibilityMode" w:uri="http://schemas.microsoft.com/office/word" w:val="15"/>
  </w:compat>
  <w:rsids>
    <w:rsidRoot w:val="00000000"/>
    <w:rsid w:val="0B1D7A4B"/>
    <w:rsid w:val="11F84060"/>
    <w:rsid w:val="1F5E5F75"/>
    <w:rsid w:val="33CA0034"/>
    <w:rsid w:val="3A2B0CF2"/>
    <w:rsid w:val="3A2E0037"/>
    <w:rsid w:val="3BE865EF"/>
    <w:rsid w:val="4CC95AF8"/>
    <w:rsid w:val="5EA52DA2"/>
    <w:rsid w:val="5EC8350D"/>
    <w:rsid w:val="634C7460"/>
    <w:rsid w:val="635B76A3"/>
    <w:rsid w:val="68416010"/>
    <w:rsid w:val="68E86413"/>
    <w:rsid w:val="6BE84243"/>
    <w:rsid w:val="7CC916BC"/>
    <w:rsid w:val="7DA837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8"/>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rPr>
      <w:rFonts w:ascii="Times New Roman" w:hAnsi="Times New Roman" w:eastAsia="宋体" w:cs="Times New Roman"/>
      <w:color w:val="000000"/>
      <w:sz w:val="56"/>
      <w:szCs w:val="56"/>
    </w:rPr>
  </w:style>
  <w:style w:type="table" w:styleId="12">
    <w:name w:val="Table Grid"/>
    <w:basedOn w:val="11"/>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Times New Roman" w:hAnsi="Times New Roman" w:eastAsia="宋体" w:cs="Times New Roman"/>
      <w:color w:val="000000"/>
      <w:sz w:val="24"/>
      <w:szCs w:val="24"/>
    </w:rPr>
  </w:style>
  <w:style w:type="character" w:customStyle="1" w:styleId="18">
    <w:name w:val="Footnote Text Char"/>
    <w:link w:val="9"/>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1377</Words>
  <Characters>1408</Characters>
  <TotalTime>2</TotalTime>
  <ScaleCrop>false</ScaleCrop>
  <LinksUpToDate>false</LinksUpToDate>
  <CharactersWithSpaces>1446</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2026-09-17T03:46:00Z</dcterms:created>
  <dc:creator>Un-named</dc:creator>
  <cp:lastModifiedBy>JIM</cp:lastModifiedBy>
  <dcterms:modified xsi:type="dcterms:W3CDTF">2026-09-18T06:19:01Z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4311618108012824_0/project_7654114101958000937-files/2026重庆高研院项目申报/选拔办法-重庆高研院项目.docx","ReservedCode1":"","ContentPropagator":"001191110102MACQD9K64028705","PropagateID":"4311618108012824#1789619837757","ReservedCode2":""}</vt:lpwstr>
  </property>
  <property fmtid="{D5CDD505-2E9C-101B-9397-08002B2CF9AE}" pid="3" name="KSOTemplateDocerSaveRecord">
    <vt:lpwstr>eyJoZGlkIjoiNTQxYjFjN2YyMzcxZmJiZDM3MzVjOGIxNjJkNWQyMWEiLCJ1c2VySWQiOiI0MDY1NjM2MDYifQ==</vt:lpwstr>
  </property>
  <property fmtid="{D5CDD505-2E9C-101B-9397-08002B2CF9AE}" pid="4" name="KSOProductBuildVer">
    <vt:lpwstr>2052-12.1.0.21171</vt:lpwstr>
  </property>
  <property fmtid="{D5CDD505-2E9C-101B-9397-08002B2CF9AE}" pid="5" name="ICV">
    <vt:lpwstr>8DF1BA4E40D94977AF7473231977F0A6_13</vt:lpwstr>
  </property>
</Properties>
</file>